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keepNext w:val="true"/>
        <w:keepLines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keepNext w:val="true"/>
        <w:keepLines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keepNext w:val="true"/>
        <w:keepLines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keepNext w:val="true"/>
        <w:keepLines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Технические требования на поставку МТР</w:t>
      </w:r>
    </w:p>
    <w:p>
      <w:pPr>
        <w:pStyle w:val="Normal"/>
        <w:keepNext w:val="true"/>
        <w:keepLines/>
        <w:jc w:val="center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</w:p>
    <w:p>
      <w:pPr>
        <w:pStyle w:val="Normal"/>
        <w:bidi w:val="0"/>
        <w:jc w:val="center"/>
        <w:rPr>
          <w:rFonts w:ascii="Times New Roman" w:hAnsi="Times New Roman" w:eastAsia="Times New Roman" w:cs="Times New Roman"/>
          <w:b/>
          <w:bCs/>
          <w:i/>
          <w:i/>
          <w:iCs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>ОКПД2 25.11.22.110 Поставка опор ЛЭП металлических в комплекте с фундаментами для нужд филиала АО "ДРСК" "Электрические сети Еврейской автономной области"</w:t>
      </w:r>
    </w:p>
    <w:p>
      <w:pPr>
        <w:pStyle w:val="Normal"/>
        <w:widowControl w:val="false"/>
        <w:tabs>
          <w:tab w:val="clear" w:pos="408"/>
          <w:tab w:val="left" w:pos="426" w:leader="none"/>
        </w:tabs>
        <w:spacing w:before="120" w:after="0"/>
        <w:jc w:val="center"/>
        <w:rPr>
          <w:b/>
          <w:i/>
          <w:i/>
          <w:sz w:val="22"/>
          <w:szCs w:val="22"/>
        </w:rPr>
      </w:pPr>
      <w:r>
        <w:rPr>
          <w:rFonts w:eastAsia="Calibri"/>
          <w:b/>
          <w:i/>
          <w:sz w:val="22"/>
          <w:szCs w:val="22"/>
          <w:lang w:eastAsia="en-US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2"/>
          <w:szCs w:val="22"/>
        </w:rPr>
      </w:pPr>
      <w:r>
        <w:rPr>
          <w:rFonts w:eastAsia="Calibri"/>
          <w:b/>
          <w:i/>
          <w:sz w:val="22"/>
          <w:szCs w:val="22"/>
        </w:rPr>
      </w:r>
    </w:p>
    <w:p>
      <w:pPr>
        <w:pStyle w:val="Normal"/>
        <w:keepNext w:val="true"/>
        <w:keepLines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  <w:r>
        <w:br w:type="page"/>
      </w:r>
    </w:p>
    <w:p>
      <w:pPr>
        <w:pStyle w:val="Heading1"/>
        <w:keepLines/>
        <w:numPr>
          <w:ilvl w:val="0"/>
          <w:numId w:val="2"/>
        </w:numPr>
        <w:spacing w:before="120" w:after="0"/>
        <w:ind w:left="357" w:hanging="357"/>
        <w:jc w:val="center"/>
        <w:rPr>
          <w:caps/>
          <w:sz w:val="22"/>
          <w:szCs w:val="22"/>
          <w:lang w:val="ru-RU"/>
        </w:rPr>
      </w:pPr>
      <w:bookmarkStart w:id="0" w:name="_Toc51339692"/>
      <w:bookmarkStart w:id="1" w:name="_Toc75446566"/>
      <w:bookmarkEnd w:id="0"/>
      <w:bookmarkEnd w:id="1"/>
      <w:r>
        <w:rPr>
          <w:sz w:val="22"/>
          <w:szCs w:val="22"/>
          <w:lang w:val="ru-RU"/>
        </w:rPr>
        <w:t>Общие сведения</w:t>
      </w:r>
    </w:p>
    <w:p>
      <w:pPr>
        <w:pStyle w:val="Heading4"/>
        <w:numPr>
          <w:ilvl w:val="1"/>
          <w:numId w:val="2"/>
        </w:numPr>
        <w:spacing w:before="120" w:after="0"/>
        <w:rPr>
          <w:sz w:val="22"/>
          <w:szCs w:val="22"/>
        </w:rPr>
      </w:pPr>
      <w:bookmarkStart w:id="2" w:name="_Toc46743506"/>
      <w:bookmarkStart w:id="3" w:name="_Toc75446568"/>
      <w:bookmarkEnd w:id="2"/>
      <w:bookmarkEnd w:id="3"/>
      <w:r>
        <w:rPr>
          <w:sz w:val="22"/>
          <w:szCs w:val="22"/>
        </w:rPr>
        <w:t>Наименование закупаемой продукции</w:t>
      </w:r>
    </w:p>
    <w:p>
      <w:pPr>
        <w:pStyle w:val="Normal"/>
        <w:widowControl w:val="false"/>
        <w:tabs>
          <w:tab w:val="clear" w:pos="408"/>
          <w:tab w:val="left" w:pos="426" w:leader="none"/>
        </w:tabs>
        <w:spacing w:before="120" w:after="0"/>
        <w:jc w:val="both"/>
        <w:rPr/>
      </w:pPr>
      <w:r>
        <w:rPr>
          <w:b/>
          <w:i/>
          <w:sz w:val="22"/>
          <w:szCs w:val="22"/>
        </w:rPr>
        <w:t xml:space="preserve">Опоры металлические промежуточные в комплекте с фундаментами </w:t>
      </w:r>
    </w:p>
    <w:p>
      <w:pPr>
        <w:pStyle w:val="Heading1"/>
        <w:keepLines/>
        <w:numPr>
          <w:ilvl w:val="0"/>
          <w:numId w:val="2"/>
        </w:numPr>
        <w:spacing w:before="120" w:after="0"/>
        <w:ind w:left="357" w:hanging="357"/>
        <w:jc w:val="center"/>
        <w:rPr>
          <w:iCs/>
          <w:caps/>
          <w:sz w:val="22"/>
          <w:szCs w:val="22"/>
          <w:lang w:val="ru-RU"/>
        </w:rPr>
      </w:pPr>
      <w:bookmarkStart w:id="4" w:name="_Toc51339693"/>
      <w:bookmarkStart w:id="5" w:name="_Toc75446573"/>
      <w:bookmarkStart w:id="6" w:name="_Toc50125126"/>
      <w:bookmarkStart w:id="7" w:name="_Toc46743510"/>
      <w:bookmarkEnd w:id="4"/>
      <w:bookmarkEnd w:id="5"/>
      <w:bookmarkEnd w:id="6"/>
      <w:bookmarkEnd w:id="7"/>
      <w:r>
        <w:rPr>
          <w:iCs/>
          <w:sz w:val="22"/>
          <w:szCs w:val="22"/>
        </w:rPr>
        <w:t>Требования к продукции</w:t>
      </w:r>
    </w:p>
    <w:p>
      <w:pPr>
        <w:pStyle w:val="Heading4"/>
        <w:numPr>
          <w:ilvl w:val="1"/>
          <w:numId w:val="2"/>
        </w:numPr>
        <w:spacing w:before="120" w:after="0"/>
        <w:rPr>
          <w:sz w:val="22"/>
          <w:szCs w:val="22"/>
        </w:rPr>
      </w:pPr>
      <w:bookmarkStart w:id="8" w:name="_Toc75446574"/>
      <w:r>
        <w:rPr>
          <w:sz w:val="22"/>
          <w:szCs w:val="22"/>
        </w:rPr>
        <w:t xml:space="preserve">Требования к объемам и срокам </w:t>
      </w:r>
      <w:bookmarkEnd w:id="8"/>
      <w:r>
        <w:rPr>
          <w:sz w:val="22"/>
          <w:szCs w:val="22"/>
          <w:lang w:val="ru-RU"/>
        </w:rPr>
        <w:t>поставки</w:t>
      </w:r>
    </w:p>
    <w:p>
      <w:pPr>
        <w:pStyle w:val="Heading3"/>
        <w:numPr>
          <w:ilvl w:val="2"/>
          <w:numId w:val="2"/>
        </w:numPr>
        <w:spacing w:before="120" w:after="0"/>
        <w:rPr>
          <w:sz w:val="22"/>
          <w:szCs w:val="22"/>
        </w:rPr>
      </w:pPr>
      <w:bookmarkStart w:id="9" w:name="_Toc75446575"/>
      <w:bookmarkEnd w:id="9"/>
      <w:r>
        <w:rPr>
          <w:sz w:val="22"/>
          <w:szCs w:val="22"/>
          <w:lang w:val="ru-RU"/>
        </w:rPr>
        <w:t>Перечень и объем закупаемой продукции</w:t>
      </w:r>
    </w:p>
    <w:p>
      <w:pPr>
        <w:pStyle w:val="Heading1"/>
        <w:keepLines/>
        <w:numPr>
          <w:ilvl w:val="0"/>
          <w:numId w:val="0"/>
        </w:numPr>
        <w:spacing w:before="240" w:after="0"/>
        <w:ind w:left="0" w:hanging="0"/>
        <w:rPr>
          <w:sz w:val="22"/>
          <w:szCs w:val="22"/>
          <w:lang w:val="ru-RU"/>
        </w:rPr>
      </w:pPr>
      <w:bookmarkStart w:id="10" w:name="_Toc75446576"/>
      <w:bookmarkStart w:id="11" w:name="_Toc51339695"/>
      <w:r>
        <w:rPr>
          <w:sz w:val="22"/>
          <w:szCs w:val="22"/>
        </w:rPr>
        <w:t xml:space="preserve">Таблица </w:t>
      </w:r>
      <w:r>
        <w:rPr>
          <w:sz w:val="22"/>
          <w:szCs w:val="22"/>
          <w:lang w:val="ru-RU"/>
        </w:rPr>
        <w:t>2.1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ru-RU"/>
        </w:rPr>
        <w:t xml:space="preserve">Перечень </w:t>
      </w:r>
      <w:bookmarkEnd w:id="10"/>
      <w:bookmarkEnd w:id="11"/>
      <w:r>
        <w:rPr>
          <w:sz w:val="22"/>
          <w:szCs w:val="22"/>
          <w:lang w:val="ru-RU"/>
        </w:rPr>
        <w:t>и объем закупаемой продукции</w:t>
      </w:r>
    </w:p>
    <w:p>
      <w:pPr>
        <w:pStyle w:val="Heading1"/>
        <w:numPr>
          <w:ilvl w:val="0"/>
          <w:numId w:val="0"/>
        </w:numPr>
        <w:spacing w:before="240" w:after="0"/>
        <w:ind w:left="0" w:hanging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</w:r>
    </w:p>
    <w:tbl>
      <w:tblPr>
        <w:tblW w:w="14572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565"/>
        <w:gridCol w:w="11880"/>
        <w:gridCol w:w="1134"/>
        <w:gridCol w:w="992"/>
      </w:tblGrid>
      <w:tr>
        <w:trPr/>
        <w:tc>
          <w:tcPr>
            <w:tcW w:w="5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40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Требование Заказчика</w:t>
            </w:r>
          </w:p>
        </w:tc>
      </w:tr>
      <w:tr>
        <w:trPr/>
        <w:tc>
          <w:tcPr>
            <w:tcW w:w="56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продукции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измер.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</w:tr>
      <w:tr>
        <w:trPr/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>
        <w:trPr/>
        <w:tc>
          <w:tcPr>
            <w:tcW w:w="145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i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i/>
                <w:color w:val="auto"/>
                <w:kern w:val="0"/>
                <w:sz w:val="22"/>
                <w:szCs w:val="22"/>
                <w:lang w:val="ru-RU" w:eastAsia="ru-RU" w:bidi="ar-SA"/>
              </w:rPr>
              <w:t>Филиал АО «ДРСК» «Электрические сети Еврейской автономной области»</w:t>
            </w:r>
          </w:p>
        </w:tc>
      </w:tr>
      <w:tr>
        <w:trPr/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Опора металлическая промежуточная, </w:t>
            </w:r>
            <w:bookmarkStart w:id="12" w:name="__DdeLink__4456_2257651991"/>
            <w:r>
              <w:rPr>
                <w:color w:val="000000"/>
                <w:sz w:val="22"/>
                <w:szCs w:val="22"/>
              </w:rPr>
              <w:t>ПС 35П-5М</w:t>
            </w:r>
            <w:bookmarkEnd w:id="12"/>
            <w:r>
              <w:rPr>
                <w:color w:val="000000"/>
                <w:sz w:val="22"/>
                <w:szCs w:val="22"/>
              </w:rPr>
              <w:t xml:space="preserve">, в комплекте с метизами, </w:t>
            </w:r>
            <w:r>
              <w:rPr>
                <w:b/>
                <w:i/>
                <w:color w:val="000000"/>
                <w:sz w:val="22"/>
                <w:szCs w:val="22"/>
              </w:rPr>
              <w:t>согласно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i/>
                <w:sz w:val="22"/>
                <w:szCs w:val="22"/>
              </w:rPr>
              <w:t>Приложению № 1 к техническим требованиям.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4</w:t>
            </w:r>
          </w:p>
        </w:tc>
      </w:tr>
      <w:tr>
        <w:trPr/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Фундамент стальной, Ф 530.1 СТ 4000.10, </w:t>
            </w:r>
            <w:r>
              <w:rPr>
                <w:b/>
                <w:i/>
                <w:color w:val="000000"/>
                <w:sz w:val="22"/>
                <w:szCs w:val="22"/>
              </w:rPr>
              <w:t>согласно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i/>
                <w:sz w:val="22"/>
                <w:szCs w:val="22"/>
              </w:rPr>
              <w:t>Приложению № 1 к техническим требованиям.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>
      <w:pPr>
        <w:pStyle w:val="Heading3"/>
        <w:numPr>
          <w:ilvl w:val="2"/>
          <w:numId w:val="2"/>
        </w:numPr>
        <w:spacing w:before="120" w:after="0"/>
        <w:rPr>
          <w:sz w:val="22"/>
          <w:szCs w:val="22"/>
          <w:lang w:val="ru-RU"/>
        </w:rPr>
      </w:pPr>
      <w:bookmarkStart w:id="13" w:name="_Toc75446578"/>
      <w:bookmarkStart w:id="14" w:name="_Toc51339696"/>
      <w:r>
        <w:rPr>
          <w:sz w:val="22"/>
          <w:szCs w:val="22"/>
          <w:lang w:val="ru-RU"/>
        </w:rPr>
        <w:t xml:space="preserve">Требования </w:t>
      </w:r>
      <w:bookmarkEnd w:id="13"/>
      <w:bookmarkEnd w:id="14"/>
      <w:r>
        <w:rPr>
          <w:sz w:val="22"/>
          <w:szCs w:val="22"/>
          <w:lang w:val="ru-RU"/>
        </w:rPr>
        <w:t xml:space="preserve">к срокам поставки продукции </w:t>
      </w:r>
    </w:p>
    <w:p>
      <w:pPr>
        <w:pStyle w:val="Heading1"/>
        <w:keepLines/>
        <w:numPr>
          <w:ilvl w:val="0"/>
          <w:numId w:val="0"/>
        </w:numPr>
        <w:spacing w:before="240" w:after="0"/>
        <w:ind w:left="0" w:hanging="0"/>
        <w:rPr>
          <w:sz w:val="22"/>
          <w:szCs w:val="22"/>
          <w:lang w:val="ru-RU"/>
        </w:rPr>
      </w:pPr>
      <w:bookmarkStart w:id="15" w:name="_Toc75446579"/>
      <w:bookmarkStart w:id="16" w:name="_Toc50125127"/>
      <w:bookmarkStart w:id="17" w:name="_Toc51339697"/>
      <w:bookmarkStart w:id="18" w:name="_Toc50125126_Копия_1"/>
      <w:bookmarkEnd w:id="18"/>
      <w:r>
        <w:rPr>
          <w:sz w:val="22"/>
          <w:szCs w:val="22"/>
        </w:rPr>
        <w:t xml:space="preserve">Таблица </w:t>
      </w:r>
      <w:r>
        <w:rPr>
          <w:sz w:val="22"/>
          <w:szCs w:val="22"/>
          <w:lang w:val="ru-RU"/>
        </w:rPr>
        <w:t>2</w:t>
      </w:r>
      <w:r>
        <w:rPr>
          <w:sz w:val="22"/>
          <w:szCs w:val="22"/>
        </w:rPr>
        <w:t>.</w:t>
      </w:r>
      <w:r>
        <w:rPr>
          <w:sz w:val="22"/>
          <w:szCs w:val="22"/>
          <w:lang w:val="ru-RU"/>
        </w:rPr>
        <w:t>1.2.</w:t>
      </w:r>
      <w:r>
        <w:rPr>
          <w:sz w:val="22"/>
          <w:szCs w:val="22"/>
        </w:rPr>
        <w:t xml:space="preserve"> </w:t>
      </w:r>
      <w:bookmarkStart w:id="19" w:name="_Hlk50465284"/>
      <w:r>
        <w:rPr>
          <w:sz w:val="22"/>
          <w:szCs w:val="22"/>
        </w:rPr>
        <w:t xml:space="preserve">Требования по срокам </w:t>
      </w:r>
      <w:bookmarkEnd w:id="16"/>
      <w:bookmarkEnd w:id="17"/>
      <w:bookmarkEnd w:id="19"/>
      <w:r>
        <w:rPr>
          <w:sz w:val="22"/>
          <w:szCs w:val="22"/>
          <w:lang w:val="ru-RU"/>
        </w:rPr>
        <w:t>поставки продукции</w:t>
      </w:r>
      <w:bookmarkEnd w:id="15"/>
      <w:r>
        <w:rPr>
          <w:sz w:val="22"/>
          <w:szCs w:val="22"/>
          <w:lang w:val="ru-RU"/>
        </w:rPr>
        <w:t xml:space="preserve"> </w:t>
      </w:r>
    </w:p>
    <w:p>
      <w:pPr>
        <w:pStyle w:val="Heading1"/>
        <w:numPr>
          <w:ilvl w:val="0"/>
          <w:numId w:val="0"/>
        </w:numPr>
        <w:spacing w:before="240" w:after="0"/>
        <w:ind w:left="0" w:hanging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</w:r>
    </w:p>
    <w:tbl>
      <w:tblPr>
        <w:tblW w:w="14567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74"/>
        <w:gridCol w:w="4255"/>
        <w:gridCol w:w="9638"/>
      </w:tblGrid>
      <w:tr>
        <w:trPr/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началу срока поставки продукции</w:t>
            </w:r>
          </w:p>
        </w:tc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окончанию срока поставки продукции</w:t>
            </w:r>
          </w:p>
        </w:tc>
      </w:tr>
      <w:tr>
        <w:trPr/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29"/>
              <w:keepNext w:val="false"/>
              <w:widowControl w:val="false"/>
              <w:spacing w:before="40" w:after="0"/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>2</w:t>
            </w:r>
          </w:p>
        </w:tc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29"/>
              <w:keepNext w:val="false"/>
              <w:widowControl w:val="false"/>
              <w:spacing w:before="40" w:after="0"/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>3</w:t>
            </w:r>
          </w:p>
        </w:tc>
      </w:tr>
      <w:tr>
        <w:trPr/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bCs/>
                <w:i/>
                <w:sz w:val="22"/>
                <w:szCs w:val="22"/>
              </w:rPr>
              <w:t xml:space="preserve">с </w:t>
            </w:r>
            <w:r>
              <w:rPr>
                <w:b/>
                <w:bCs/>
                <w:i/>
                <w:sz w:val="22"/>
                <w:szCs w:val="22"/>
              </w:rPr>
              <w:t>01</w:t>
            </w:r>
            <w:r>
              <w:rPr>
                <w:b/>
                <w:bCs/>
                <w:i/>
                <w:sz w:val="22"/>
                <w:szCs w:val="22"/>
              </w:rPr>
              <w:t>.0</w:t>
            </w:r>
            <w:r>
              <w:rPr>
                <w:b/>
                <w:bCs/>
                <w:i/>
                <w:sz w:val="22"/>
                <w:szCs w:val="22"/>
              </w:rPr>
              <w:t>9</w:t>
            </w:r>
            <w:r>
              <w:rPr>
                <w:b/>
                <w:bCs/>
                <w:i/>
                <w:sz w:val="22"/>
                <w:szCs w:val="22"/>
              </w:rPr>
              <w:t>.2026 года</w:t>
            </w:r>
          </w:p>
        </w:tc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sz w:val="22"/>
                <w:szCs w:val="22"/>
              </w:rPr>
              <w:t>в течение 45 календарных дней с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2"/>
                <w:szCs w:val="22"/>
              </w:rPr>
              <w:t>момента начала поставки</w:t>
            </w:r>
          </w:p>
        </w:tc>
      </w:tr>
    </w:tbl>
    <w:p>
      <w:pPr>
        <w:sectPr>
          <w:headerReference w:type="default" r:id="rId2"/>
          <w:headerReference w:type="first" r:id="rId3"/>
          <w:type w:val="nextPage"/>
          <w:pgSz w:orient="landscape" w:w="16838" w:h="11906"/>
          <w:pgMar w:left="1418" w:right="1103" w:gutter="0" w:header="680" w:top="1134" w:footer="0" w:bottom="567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Heading4"/>
        <w:numPr>
          <w:ilvl w:val="1"/>
          <w:numId w:val="2"/>
        </w:numPr>
        <w:spacing w:before="120" w:after="0"/>
        <w:rPr>
          <w:sz w:val="22"/>
          <w:szCs w:val="22"/>
        </w:rPr>
      </w:pPr>
      <w:bookmarkStart w:id="20" w:name="_Toc51339698"/>
      <w:bookmarkStart w:id="21" w:name="_Toc75446581"/>
      <w:bookmarkStart w:id="22" w:name="_Toc46743511"/>
      <w:r>
        <w:rPr>
          <w:sz w:val="22"/>
          <w:szCs w:val="22"/>
        </w:rPr>
        <w:t xml:space="preserve">Требования к </w:t>
      </w:r>
      <w:bookmarkEnd w:id="21"/>
      <w:bookmarkEnd w:id="22"/>
      <w:r>
        <w:rPr>
          <w:sz w:val="22"/>
          <w:szCs w:val="22"/>
          <w:lang w:val="ru-RU"/>
        </w:rPr>
        <w:t>качеству продукции</w:t>
      </w:r>
    </w:p>
    <w:p>
      <w:pPr>
        <w:pStyle w:val="Heading1"/>
        <w:keepLines/>
        <w:numPr>
          <w:ilvl w:val="0"/>
          <w:numId w:val="0"/>
        </w:numPr>
        <w:spacing w:before="240" w:after="0"/>
        <w:ind w:left="0" w:hanging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bookmarkStart w:id="23" w:name="_Toc75446582"/>
      <w:r>
        <w:rPr>
          <w:sz w:val="22"/>
          <w:szCs w:val="22"/>
        </w:rPr>
        <w:t>Таблица </w:t>
      </w:r>
      <w:r>
        <w:rPr>
          <w:sz w:val="22"/>
          <w:szCs w:val="22"/>
          <w:lang w:val="ru-RU"/>
        </w:rPr>
        <w:t>2</w:t>
      </w:r>
      <w:r>
        <w:rPr>
          <w:sz w:val="22"/>
          <w:szCs w:val="22"/>
        </w:rPr>
        <w:t>.</w:t>
      </w:r>
      <w:r>
        <w:rPr>
          <w:sz w:val="22"/>
          <w:szCs w:val="22"/>
          <w:lang w:val="ru-RU"/>
        </w:rPr>
        <w:t>2.</w:t>
      </w:r>
      <w:r>
        <w:rPr>
          <w:sz w:val="22"/>
          <w:szCs w:val="22"/>
        </w:rPr>
        <w:t xml:space="preserve"> Требования к </w:t>
      </w:r>
      <w:r>
        <w:rPr>
          <w:sz w:val="22"/>
          <w:szCs w:val="22"/>
          <w:lang w:val="ru-RU"/>
        </w:rPr>
        <w:t>продукции</w:t>
      </w:r>
      <w:bookmarkEnd w:id="20"/>
      <w:bookmarkEnd w:id="23"/>
      <w:r>
        <w:rPr>
          <w:sz w:val="22"/>
          <w:szCs w:val="22"/>
        </w:rPr>
        <w:t xml:space="preserve"> </w:t>
      </w:r>
    </w:p>
    <w:p>
      <w:pPr>
        <w:pStyle w:val="Normal"/>
        <w:widowControl w:val="false"/>
        <w:tabs>
          <w:tab w:val="clear" w:pos="408"/>
          <w:tab w:val="left" w:pos="426" w:leader="none"/>
        </w:tabs>
        <w:spacing w:before="120" w:after="0"/>
        <w:jc w:val="both"/>
        <w:rPr/>
      </w:pPr>
      <w:r>
        <w:rPr>
          <w:b/>
          <w:bCs/>
          <w:i/>
          <w:iCs/>
          <w:sz w:val="22"/>
          <w:szCs w:val="22"/>
        </w:rPr>
        <w:t xml:space="preserve">Наименование продукции </w:t>
      </w:r>
      <w:r>
        <w:rPr>
          <w:rFonts w:eastAsia="Calibri"/>
          <w:i/>
          <w:sz w:val="22"/>
          <w:szCs w:val="22"/>
          <w:lang w:eastAsia="x-none"/>
        </w:rPr>
        <w:t>«</w:t>
      </w:r>
      <w:r>
        <w:rPr>
          <w:b/>
          <w:i/>
          <w:sz w:val="22"/>
          <w:szCs w:val="22"/>
        </w:rPr>
        <w:t>Опоры металлические промежуточные в комплекте с фундаментами</w:t>
      </w:r>
      <w:r>
        <w:rPr>
          <w:rFonts w:eastAsia="Calibri"/>
          <w:i/>
          <w:sz w:val="22"/>
          <w:szCs w:val="22"/>
          <w:lang w:eastAsia="x-none"/>
        </w:rPr>
        <w:t>»</w:t>
      </w:r>
    </w:p>
    <w:tbl>
      <w:tblPr>
        <w:tblStyle w:val="affff5"/>
        <w:tblW w:w="15451" w:type="dxa"/>
        <w:jc w:val="left"/>
        <w:tblInd w:w="36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8"/>
        <w:gridCol w:w="3543"/>
        <w:gridCol w:w="3969"/>
        <w:gridCol w:w="2270"/>
        <w:gridCol w:w="2693"/>
        <w:gridCol w:w="2407"/>
      </w:tblGrid>
      <w:tr>
        <w:trPr/>
        <w:tc>
          <w:tcPr>
            <w:tcW w:w="568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п/п</w:t>
            </w:r>
          </w:p>
        </w:tc>
        <w:tc>
          <w:tcPr>
            <w:tcW w:w="3543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3969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Требование заказчика</w:t>
            </w:r>
          </w:p>
        </w:tc>
        <w:tc>
          <w:tcPr>
            <w:tcW w:w="4963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407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568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543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969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27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69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407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35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39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227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69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5</w:t>
            </w:r>
          </w:p>
        </w:tc>
        <w:tc>
          <w:tcPr>
            <w:tcW w:w="240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568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before="6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882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 к техническим и функциональным характеристикам, к конструкции изделия, материалам</w:t>
            </w:r>
          </w:p>
        </w:tc>
      </w:tr>
      <w:tr>
        <w:trPr/>
        <w:tc>
          <w:tcPr>
            <w:tcW w:w="568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uppressAutoHyphens w:val="true"/>
              <w:spacing w:before="60" w:after="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543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Требования к изготовлению опор металлических промежуточных в комплекте с фундаментами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Требования к изготовлению опор металлических промежуточных в комплекте с фундаментами</w:t>
            </w:r>
          </w:p>
        </w:tc>
        <w:tc>
          <w:tcPr>
            <w:tcW w:w="39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Cs/>
                <w:kern w:val="0"/>
                <w:sz w:val="22"/>
                <w:szCs w:val="22"/>
                <w:lang w:val="ru-RU" w:eastAsia="ru-RU" w:bidi="ar-SA"/>
              </w:rPr>
              <w:t xml:space="preserve">Опоры должны быть предназначены для применения в районах с диапазоном температуры от - 60˚ до +50˚ и изготовлены из стали марки 09Г2С-12 по ГОСТ 19281-2014 (С345-3 по ГОСТ 27772-2021). Антикоррозионное покрытие опор нанесено методом горячего оцинкования согласно ГОСТ 9.307-2021.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Допускается производить замену марок стали на равнопрочную или более высокой прочности согласно расчетных листов.</w:t>
            </w:r>
          </w:p>
        </w:tc>
        <w:tc>
          <w:tcPr>
            <w:tcW w:w="227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Согласие с требованием, указать марку стали для изготовления опор</w:t>
            </w:r>
          </w:p>
        </w:tc>
        <w:tc>
          <w:tcPr>
            <w:tcW w:w="269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0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uppressAutoHyphens w:val="true"/>
              <w:spacing w:before="60" w:after="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543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Опоры должны быть выполнены в соответствии с ГОСТ 23118-2019 «Конструкции стальные строительные. Общие технические условия» актуальной версии.</w:t>
            </w:r>
          </w:p>
        </w:tc>
        <w:tc>
          <w:tcPr>
            <w:tcW w:w="227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9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0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uppressAutoHyphens w:val="true"/>
              <w:spacing w:before="60" w:after="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543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Защита от коррозии металлических элементов опор, метизов должна быть выполнена методом горячего оцинкования в соответствии с требованиями ГОСТ 9.307-2021 «Покрытия цинковые горячие. Общие требования и методы контроля» или термодиффузионного оцинкования в соответствии с требованиями</w:t>
            </w: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shd w:fill="FFFFFF" w:val="clear"/>
                <w:lang w:val="ru-RU" w:eastAsia="ru-RU" w:bidi="ar-SA"/>
              </w:rPr>
              <w:t xml:space="preserve"> ГОСТ 9.316-2006 «Покрытия термодиффузионные цинковые. Общие требования и методы контроля»</w:t>
            </w:r>
            <w:r>
              <w:rPr>
                <w:rFonts w:eastAsia="Times New Roman" w:cs="Times New Roman"/>
                <w:color w:val="141412"/>
                <w:spacing w:val="12"/>
                <w:kern w:val="0"/>
                <w:sz w:val="22"/>
                <w:szCs w:val="22"/>
                <w:shd w:fill="FFFFFF" w:val="clear"/>
                <w:lang w:val="ru-RU" w:eastAsia="ru-RU" w:bidi="ar-SA"/>
              </w:rPr>
              <w:t>.</w:t>
            </w:r>
          </w:p>
        </w:tc>
        <w:tc>
          <w:tcPr>
            <w:tcW w:w="227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Указать метод оцинкования</w:t>
            </w:r>
          </w:p>
        </w:tc>
        <w:tc>
          <w:tcPr>
            <w:tcW w:w="269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0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840" w:hRule="atLeast"/>
        </w:trPr>
        <w:tc>
          <w:tcPr>
            <w:tcW w:w="568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uppressAutoHyphens w:val="true"/>
              <w:spacing w:before="60" w:after="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543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Опоры должны быть изготовлены по типовому проекту </w:t>
            </w:r>
            <w:r>
              <w:rPr>
                <w:rFonts w:eastAsia="Times New Roman" w:cs="Times New Roman"/>
                <w:b/>
                <w:i/>
                <w:color w:val="000000"/>
                <w:kern w:val="0"/>
                <w:sz w:val="22"/>
                <w:szCs w:val="22"/>
                <w:lang w:val="ru-RU" w:eastAsia="ru-RU" w:bidi="ar-SA"/>
              </w:rPr>
              <w:t>№3078тм- том8</w:t>
            </w:r>
          </w:p>
        </w:tc>
        <w:tc>
          <w:tcPr>
            <w:tcW w:w="227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iCs/>
                <w:color w:val="808080"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9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iCs/>
                <w:color w:val="808080"/>
                <w:sz w:val="22"/>
                <w:szCs w:val="22"/>
              </w:rPr>
            </w:pPr>
            <w:r>
              <w:rPr>
                <w:rFonts w:eastAsia="Times New Roman" w:cs="Times New Roman"/>
                <w:i/>
                <w:iCs/>
                <w:color w:val="808080"/>
                <w:kern w:val="0"/>
                <w:sz w:val="22"/>
                <w:szCs w:val="22"/>
                <w:lang w:val="ru-RU" w:eastAsia="ru-RU" w:bidi="ar-SA"/>
              </w:rPr>
              <w:t xml:space="preserve">В случае, если опоры предлагается изготовить по иному типовому проекту, </w:t>
            </w:r>
            <w:r>
              <w:rPr>
                <w:rFonts w:eastAsia="Times New Roman" w:cs="Times New Roman"/>
                <w:i/>
                <w:color w:val="808080" w:themeColor="background1" w:themeShade="80"/>
                <w:kern w:val="0"/>
                <w:sz w:val="22"/>
                <w:szCs w:val="22"/>
                <w:lang w:val="ru-RU" w:eastAsia="ru-RU" w:bidi="ar-SA"/>
              </w:rPr>
              <w:t>предоставить описание конструктивного исполнения предлагаемых опор, с предоставлением чертежей с габаритными и установочными размерами.</w:t>
            </w:r>
          </w:p>
        </w:tc>
        <w:tc>
          <w:tcPr>
            <w:tcW w:w="240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uppressAutoHyphens w:val="true"/>
              <w:spacing w:before="60" w:after="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512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bookmarkStart w:id="24" w:name="_Hlk68806928"/>
            <w:r>
              <w:rPr>
                <w:rFonts w:eastAsia="Times New Roman" w:cs="Times New Roman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Указанные в настоящем техническом требовании ссылки на марку (тип) продукции или типовой проект носят описательный, а не обязательный характер.</w:t>
            </w:r>
            <w:bookmarkEnd w:id="24"/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В случае, если Участником предлагается эквивалентная продукция требуемой Заказчику продукции или ее составных частей, он должен в обязательном порядке в составе своего предложения предоставить подробное техническое описание предлагаемого к поставке эквивалента.</w:t>
            </w:r>
          </w:p>
          <w:p>
            <w:pPr>
              <w:pStyle w:val="FootnoteText"/>
              <w:widowControl w:val="false"/>
              <w:suppressAutoHyphens w:val="true"/>
              <w:spacing w:before="0" w:after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</w:r>
          </w:p>
          <w:p>
            <w:pPr>
              <w:pStyle w:val="FootnoteText"/>
              <w:widowControl w:val="false"/>
              <w:suppressAutoHyphens w:val="true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Параметрами эквивалентности являются технические характеристики продукции, указанные в Таблице № 2.2 и Приложениях № 1, № 2 настоящих технических требований.</w:t>
            </w:r>
          </w:p>
          <w:p>
            <w:pPr>
              <w:pStyle w:val="FootnoteText"/>
              <w:widowControl w:val="false"/>
              <w:suppressAutoHyphens w:val="true"/>
              <w:spacing w:before="0" w:after="0"/>
              <w:jc w:val="both"/>
              <w:rPr>
                <w:iCs/>
              </w:rPr>
            </w:pPr>
            <w:r>
              <w:rPr>
                <w:iCs/>
              </w:rPr>
            </w:r>
          </w:p>
          <w:p>
            <w:pPr>
              <w:pStyle w:val="FootnoteText"/>
              <w:widowControl w:val="false"/>
              <w:suppressAutoHyphens w:val="true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</w:t>
            </w:r>
          </w:p>
        </w:tc>
        <w:tc>
          <w:tcPr>
            <w:tcW w:w="2270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uppressAutoHyphens w:val="true"/>
              <w:spacing w:before="4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93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uppressAutoHyphens w:val="true"/>
              <w:spacing w:before="4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  <w:bookmarkStart w:id="25" w:name="_GoBack"/>
            <w:bookmarkEnd w:id="25"/>
          </w:p>
        </w:tc>
        <w:tc>
          <w:tcPr>
            <w:tcW w:w="2407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41" w:hRule="atLeast"/>
        </w:trPr>
        <w:tc>
          <w:tcPr>
            <w:tcW w:w="568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before="6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882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 к гарантиям</w:t>
            </w:r>
          </w:p>
        </w:tc>
      </w:tr>
      <w:tr>
        <w:trPr/>
        <w:tc>
          <w:tcPr>
            <w:tcW w:w="568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uppressAutoHyphens w:val="true"/>
              <w:spacing w:before="60" w:after="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5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Срок гарантии на поставляемую </w:t>
            </w: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продукцию</w:t>
            </w:r>
          </w:p>
        </w:tc>
        <w:tc>
          <w:tcPr>
            <w:tcW w:w="39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/>
                <w:kern w:val="0"/>
                <w:sz w:val="22"/>
                <w:szCs w:val="22"/>
                <w:lang w:val="ru-RU" w:eastAsia="ru-RU" w:bidi="ar-SA"/>
              </w:rPr>
              <w:t>не менее 5-ти лет.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Время начала исчисления гарантийного срока с момента подписания ТОРГ-12 или УПД.</w:t>
            </w:r>
          </w:p>
        </w:tc>
        <w:tc>
          <w:tcPr>
            <w:tcW w:w="227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Указать срок гарантии на предлагаемую продукцию</w:t>
            </w:r>
          </w:p>
        </w:tc>
        <w:tc>
          <w:tcPr>
            <w:tcW w:w="269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uppressAutoHyphens w:val="true"/>
              <w:spacing w:before="4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07" w:type="dxa"/>
            <w:tcBorders/>
            <w:shd w:color="auto" w:fill="auto" w:val="clear"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left"/>
              <w:outlineLvl w:val="2"/>
              <w:rPr>
                <w:rFonts w:eastAsia="Times New Roman"/>
                <w:b w:val="false"/>
                <w:sz w:val="22"/>
                <w:szCs w:val="22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3.</w:t>
            </w:r>
          </w:p>
        </w:tc>
        <w:tc>
          <w:tcPr>
            <w:tcW w:w="14882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Требование к доставке</w:t>
            </w:r>
          </w:p>
        </w:tc>
      </w:tr>
      <w:tr>
        <w:trPr>
          <w:trHeight w:val="646" w:hRule="atLeast"/>
        </w:trPr>
        <w:tc>
          <w:tcPr>
            <w:tcW w:w="56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ind w:right="-109" w:hanging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3.1.</w:t>
            </w:r>
          </w:p>
        </w:tc>
        <w:tc>
          <w:tcPr>
            <w:tcW w:w="354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145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145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145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145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145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145" w:hanging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Место поставки</w:t>
            </w:r>
          </w:p>
        </w:tc>
        <w:tc>
          <w:tcPr>
            <w:tcW w:w="39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Место поставки и количество продукции в адрес филиала АО «ДРСК» «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Э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лектрические сети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Еврейской автономной области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»: </w:t>
            </w:r>
            <w:r>
              <w:rPr>
                <w:rFonts w:eastAsia="Times New Roman" w:cs="Times New Roman" w:ascii="Arial" w:hAnsi="Arial"/>
                <w:b/>
                <w:color w:val="003366"/>
                <w:kern w:val="0"/>
                <w:sz w:val="17"/>
                <w:szCs w:val="22"/>
                <w:lang w:val="ru-RU" w:eastAsia="ru-RU" w:bidi="ar-SA"/>
              </w:rPr>
              <w:t xml:space="preserve">  </w:t>
            </w: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Для отгрузки железнодорожным  транспортом: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i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Станция получения: </w:t>
            </w:r>
            <w:r>
              <w:rPr>
                <w:rFonts w:eastAsia="Times New Roman" w:cs="Times New Roman"/>
                <w:i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 код 96280, Россия, Дальневосточная железная дорога, Дальневосточный федеральный округ Еврейская автономная область Биробиджан. Расположение на карте 48.77939 132.962639.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Для отгрузки автомобильным транспортом: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i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m w:val="none"/>
                <w:lang w:val="ru-RU" w:eastAsia="ru-RU" w:bidi="ar-SA"/>
              </w:rPr>
              <w:t>67</w:t>
            </w:r>
            <w:r>
              <w:rPr>
                <w:rFonts w:eastAsia="Times New Roman" w:cs="Times New Roman"/>
                <w:b w:val="false"/>
                <w:bCs w:val="false"/>
                <w:i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m w:val="none"/>
                <w:lang w:val="ru-RU" w:eastAsia="ru-RU" w:bidi="ar-SA"/>
              </w:rPr>
              <w:t>9</w:t>
            </w:r>
            <w:r>
              <w:rPr>
                <w:rFonts w:eastAsia="Times New Roman" w:cs="Times New Roman"/>
                <w:b w:val="false"/>
                <w:bCs w:val="false"/>
                <w:i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m w:val="none"/>
                <w:lang w:val="ru-RU" w:eastAsia="ru-RU" w:bidi="ar-SA"/>
              </w:rPr>
              <w:t>0</w:t>
            </w:r>
            <w:r>
              <w:rPr>
                <w:rFonts w:eastAsia="Times New Roman" w:cs="Times New Roman"/>
                <w:b w:val="false"/>
                <w:bCs w:val="false"/>
                <w:i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m w:val="none"/>
                <w:lang w:val="ru-RU" w:eastAsia="ru-RU" w:bidi="ar-SA"/>
              </w:rPr>
              <w:t>16</w:t>
            </w:r>
            <w:r>
              <w:rPr>
                <w:rFonts w:eastAsia="Times New Roman" w:cs="Times New Roman"/>
                <w:b w:val="false"/>
                <w:bCs w:val="false"/>
                <w:i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m w:val="none"/>
                <w:lang w:val="ru-RU" w:eastAsia="ru-RU" w:bidi="ar-SA"/>
              </w:rPr>
              <w:t xml:space="preserve">, </w:t>
            </w:r>
            <w:r>
              <w:rPr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РФ, </w:t>
            </w:r>
            <w:r>
              <w:rPr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Еврейская автономная</w:t>
            </w:r>
            <w:r>
              <w:rPr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 обл., г. </w:t>
            </w:r>
            <w:r>
              <w:rPr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Биробиджан</w:t>
            </w:r>
            <w:r>
              <w:rPr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,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ул. Черноморская</w:t>
            </w:r>
            <w:r>
              <w:rPr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, д.3</w:t>
            </w:r>
          </w:p>
        </w:tc>
        <w:tc>
          <w:tcPr>
            <w:tcW w:w="227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2"/>
                <w:szCs w:val="22"/>
                <w:lang w:val="ru-RU" w:eastAsia="ru-RU" w:bidi="ar-SA"/>
              </w:rPr>
              <w:t>Согласие с требованием, указать способ доставки продукции</w:t>
            </w:r>
          </w:p>
        </w:tc>
        <w:tc>
          <w:tcPr>
            <w:tcW w:w="269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Sylfaen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0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0"/>
              <w:ind w:left="113" w:right="-113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4.</w:t>
            </w:r>
          </w:p>
        </w:tc>
        <w:tc>
          <w:tcPr>
            <w:tcW w:w="14882" w:type="dxa"/>
            <w:gridSpan w:val="5"/>
            <w:tcBorders/>
            <w:shd w:color="auto" w:fill="auto" w:val="clear"/>
          </w:tcPr>
          <w:p>
            <w:pPr>
              <w:pStyle w:val="Standard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 к сроку выпуска продукции</w:t>
            </w:r>
          </w:p>
        </w:tc>
      </w:tr>
      <w:tr>
        <w:trPr/>
        <w:tc>
          <w:tcPr>
            <w:tcW w:w="56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ind w:right="-109" w:hanging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4.1.</w:t>
            </w:r>
          </w:p>
        </w:tc>
        <w:tc>
          <w:tcPr>
            <w:tcW w:w="3543" w:type="dxa"/>
            <w:tcBorders/>
            <w:shd w:color="auto" w:fill="auto" w:val="clear"/>
          </w:tcPr>
          <w:p>
            <w:pPr>
              <w:pStyle w:val="Standard"/>
              <w:widowControl w:val="false"/>
              <w:suppressAutoHyphens w:val="true"/>
              <w:spacing w:before="0" w:after="0"/>
              <w:ind w:right="145" w:hanging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Требования к сроку изготовления закупаемой продукции</w:t>
            </w:r>
          </w:p>
        </w:tc>
        <w:tc>
          <w:tcPr>
            <w:tcW w:w="3969" w:type="dxa"/>
            <w:tcBorders/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Год изготовления (выпуска) закупаемой продукции 2025-2026гг.</w:t>
            </w:r>
          </w:p>
        </w:tc>
        <w:tc>
          <w:tcPr>
            <w:tcW w:w="227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9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40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ind w:left="-76" w:hanging="142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 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4.2.</w:t>
            </w:r>
          </w:p>
        </w:tc>
        <w:tc>
          <w:tcPr>
            <w:tcW w:w="3543" w:type="dxa"/>
            <w:tcBorders>
              <w:top w:val="nil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true"/>
              <w:spacing w:before="0" w:after="0"/>
              <w:ind w:right="145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andard"/>
              <w:widowControl w:val="false"/>
              <w:suppressAutoHyphens w:val="true"/>
              <w:spacing w:before="0" w:after="0"/>
              <w:ind w:right="145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andard"/>
              <w:widowControl w:val="false"/>
              <w:suppressAutoHyphens w:val="true"/>
              <w:spacing w:before="0" w:after="0"/>
              <w:ind w:right="145" w:hanging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Требования к качеству закупаемой продукции</w:t>
            </w:r>
          </w:p>
        </w:tc>
        <w:tc>
          <w:tcPr>
            <w:tcW w:w="39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Продукция должна быть новой, ранее не используемой (Под новой следует понимать продукцию, которая не была в употреблении, не проходила ремонт, в том числе восстановление, замену составных частей, восстановление потребительских свойств)</w:t>
            </w:r>
          </w:p>
        </w:tc>
        <w:tc>
          <w:tcPr>
            <w:tcW w:w="2270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93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left"/>
              <w:outlineLvl w:val="2"/>
              <w:rPr>
                <w:sz w:val="22"/>
                <w:szCs w:val="22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0"/>
                <w:szCs w:val="20"/>
                <w:lang w:val="ru-RU" w:eastAsia="ru-RU" w:bidi="ar-SA"/>
              </w:rPr>
              <w:t xml:space="preserve">                   </w:t>
            </w:r>
            <w:r>
              <w:rPr>
                <w:rFonts w:eastAsia="Times New Roman" w:cs="Times New Roman" w:ascii="Liberation Serif" w:hAnsi="Liberation Serif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407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left"/>
              <w:outlineLvl w:val="2"/>
              <w:rPr>
                <w:rFonts w:eastAsia="Times New Roman"/>
                <w:b w:val="false"/>
                <w:sz w:val="22"/>
                <w:szCs w:val="22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568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ind w:left="-76" w:hanging="142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5.</w:t>
            </w:r>
          </w:p>
        </w:tc>
        <w:tc>
          <w:tcPr>
            <w:tcW w:w="14882" w:type="dxa"/>
            <w:gridSpan w:val="5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-109" w:hanging="0"/>
              <w:jc w:val="left"/>
              <w:rPr>
                <w:rFonts w:eastAsia="Times New Roman" w:cs="Times New Roman"/>
                <w:b/>
                <w:color w:val="000000"/>
                <w:kern w:val="2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000000"/>
                <w:kern w:val="2"/>
                <w:sz w:val="22"/>
                <w:szCs w:val="22"/>
                <w:lang w:val="ru-RU" w:eastAsia="ru-RU" w:bidi="ar-SA"/>
              </w:rPr>
              <w:t>Прочие (дополнительные) требования к продукции</w:t>
            </w:r>
          </w:p>
        </w:tc>
      </w:tr>
      <w:tr>
        <w:trPr/>
        <w:tc>
          <w:tcPr>
            <w:tcW w:w="568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ind w:left="-76" w:hanging="142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5.1</w:t>
            </w:r>
          </w:p>
        </w:tc>
        <w:tc>
          <w:tcPr>
            <w:tcW w:w="35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408"/>
                <w:tab w:val="left" w:pos="567" w:leader="none"/>
              </w:tabs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Требования к происхождению поставляемой продукции</w:t>
            </w:r>
          </w:p>
        </w:tc>
        <w:tc>
          <w:tcPr>
            <w:tcW w:w="39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В составе Коммерческого предложения Поставщик указывает страну и производителя продукции.</w:t>
            </w:r>
          </w:p>
        </w:tc>
        <w:tc>
          <w:tcPr>
            <w:tcW w:w="2270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ind w:left="0" w:right="39" w:hanging="0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i/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693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left"/>
              <w:outlineLvl w:val="2"/>
              <w:rPr>
                <w:sz w:val="22"/>
                <w:szCs w:val="22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kern w:val="0"/>
                <w:sz w:val="20"/>
                <w:szCs w:val="20"/>
                <w:lang w:val="ru-RU" w:eastAsia="ru-RU" w:bidi="ar-SA"/>
              </w:rPr>
              <w:t xml:space="preserve">                             </w:t>
            </w:r>
            <w:r>
              <w:rPr>
                <w:rFonts w:eastAsia="Times New Roman" w:cs="Times New Roman" w:ascii="Liberation Serif" w:hAnsi="Liberation Serif"/>
                <w:i/>
                <w:iCs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407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left"/>
              <w:outlineLvl w:val="2"/>
              <w:rPr>
                <w:rFonts w:eastAsia="Times New Roman"/>
                <w:b w:val="false"/>
                <w:sz w:val="22"/>
                <w:szCs w:val="22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2"/>
                <w:szCs w:val="22"/>
                <w:lang w:val="ru-RU" w:eastAsia="ru-RU" w:bidi="ar-SA"/>
              </w:rPr>
            </w:r>
          </w:p>
        </w:tc>
      </w:tr>
    </w:tbl>
    <w:p>
      <w:pPr>
        <w:sectPr>
          <w:headerReference w:type="default" r:id="rId4"/>
          <w:headerReference w:type="first" r:id="rId5"/>
          <w:type w:val="nextPage"/>
          <w:pgSz w:orient="landscape" w:w="16838" w:h="11906"/>
          <w:pgMar w:left="567" w:right="567" w:gutter="0" w:header="680" w:top="1134" w:footer="0" w:bottom="567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Heading1"/>
        <w:keepLines/>
        <w:numPr>
          <w:ilvl w:val="0"/>
          <w:numId w:val="2"/>
        </w:numPr>
        <w:tabs>
          <w:tab w:val="clear" w:pos="408"/>
          <w:tab w:val="left" w:pos="851" w:leader="none"/>
        </w:tabs>
        <w:spacing w:before="0" w:after="0"/>
        <w:ind w:left="0" w:firstLine="567"/>
        <w:rPr>
          <w:sz w:val="22"/>
          <w:szCs w:val="22"/>
          <w:lang w:val="ru-RU"/>
        </w:rPr>
      </w:pPr>
      <w:bookmarkStart w:id="26" w:name="_Toc75446583"/>
      <w:bookmarkStart w:id="27" w:name="_Toc53393312"/>
      <w:r>
        <w:rPr>
          <w:sz w:val="22"/>
          <w:szCs w:val="22"/>
          <w:lang w:val="ru-RU"/>
        </w:rPr>
        <w:t>Требования к документации по ценообразованию</w:t>
      </w:r>
      <w:bookmarkEnd w:id="26"/>
      <w:bookmarkEnd w:id="27"/>
      <w:r>
        <w:rPr>
          <w:sz w:val="22"/>
          <w:szCs w:val="22"/>
          <w:lang w:val="ru-RU"/>
        </w:rPr>
        <w:t xml:space="preserve"> на этапе закупки</w:t>
      </w:r>
    </w:p>
    <w:p>
      <w:pPr>
        <w:pStyle w:val="Normal"/>
        <w:tabs>
          <w:tab w:val="clear" w:pos="408"/>
          <w:tab w:val="left" w:pos="1134" w:leader="none"/>
        </w:tabs>
        <w:ind w:right="593" w:firstLine="567"/>
        <w:jc w:val="both"/>
        <w:rPr>
          <w:bCs/>
          <w:iCs/>
          <w:sz w:val="22"/>
          <w:szCs w:val="22"/>
          <w:lang w:eastAsia="x-none"/>
        </w:rPr>
      </w:pPr>
      <w:r>
        <w:rPr>
          <w:bCs/>
          <w:iCs/>
          <w:sz w:val="22"/>
          <w:szCs w:val="22"/>
          <w:lang w:eastAsia="x-none"/>
        </w:rPr>
        <w:t>3.1.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>
      <w:pPr>
        <w:pStyle w:val="Normal"/>
        <w:ind w:right="593" w:firstLine="567"/>
        <w:jc w:val="both"/>
        <w:rPr>
          <w:sz w:val="22"/>
          <w:szCs w:val="22"/>
        </w:rPr>
      </w:pPr>
      <w:r>
        <w:rPr>
          <w:bCs/>
          <w:iCs/>
          <w:sz w:val="22"/>
          <w:szCs w:val="22"/>
          <w:lang w:eastAsia="x-none"/>
        </w:rPr>
        <w:t>3.2.</w:t>
      </w:r>
      <w:bookmarkStart w:id="28" w:name="_Toc46743519"/>
      <w:bookmarkStart w:id="29" w:name="_Toc51339699"/>
      <w:bookmarkEnd w:id="28"/>
      <w:bookmarkEnd w:id="29"/>
      <w:r>
        <w:rPr>
          <w:sz w:val="22"/>
          <w:szCs w:val="22"/>
        </w:rPr>
        <w:t xml:space="preserve"> Все цены в предложении должны включать все налоги, транспортные расходы и другие обязательные платежи, стоимость всех сопутствующих работ (услуг), а также все скидки, предлагаемые участником.</w:t>
      </w:r>
    </w:p>
    <w:p>
      <w:pPr>
        <w:pStyle w:val="Normal"/>
        <w:widowControl w:val="false"/>
        <w:tabs>
          <w:tab w:val="clear" w:pos="408"/>
          <w:tab w:val="left" w:pos="426" w:leader="none"/>
        </w:tabs>
        <w:spacing w:before="60" w:after="0"/>
        <w:jc w:val="both"/>
        <w:rPr>
          <w:b/>
          <w:sz w:val="22"/>
          <w:szCs w:val="22"/>
          <w:lang w:val="x-none" w:eastAsia="x-none"/>
        </w:rPr>
      </w:pPr>
      <w:r>
        <w:rPr>
          <w:b/>
          <w:sz w:val="22"/>
          <w:szCs w:val="22"/>
          <w:lang w:val="x-none" w:eastAsia="x-none"/>
        </w:rPr>
      </w:r>
    </w:p>
    <w:p>
      <w:pPr>
        <w:pStyle w:val="Normal"/>
        <w:rPr>
          <w:b/>
          <w:bCs/>
          <w:i/>
          <w:i/>
          <w:iCs/>
          <w:sz w:val="22"/>
          <w:szCs w:val="22"/>
        </w:rPr>
      </w:pPr>
      <w:r>
        <w:rPr>
          <w:b/>
          <w:i/>
          <w:sz w:val="22"/>
          <w:szCs w:val="22"/>
        </w:rPr>
        <w:t xml:space="preserve">Приложение № 1 – </w:t>
      </w:r>
      <w:r>
        <w:rPr>
          <w:b/>
          <w:bCs/>
          <w:i/>
          <w:iCs/>
          <w:sz w:val="22"/>
          <w:szCs w:val="22"/>
        </w:rPr>
        <w:t xml:space="preserve">Чертёж опоры промежуточной опоры ПС 35П-5М и фундамента стального </w:t>
      </w:r>
      <w:r>
        <w:rPr>
          <w:b/>
          <w:bCs/>
          <w:i/>
          <w:iCs/>
          <w:color w:val="000000"/>
          <w:sz w:val="22"/>
          <w:szCs w:val="22"/>
        </w:rPr>
        <w:t>Ф 530.1 СТ 4000.10</w:t>
      </w:r>
      <w:r>
        <w:rPr>
          <w:bCs/>
          <w:i/>
          <w:iCs/>
          <w:sz w:val="26"/>
          <w:szCs w:val="26"/>
        </w:rPr>
        <w:t>.</w:t>
      </w:r>
    </w:p>
    <w:p>
      <w:pPr>
        <w:pStyle w:val="Normal"/>
        <w:rPr>
          <w:i/>
          <w:i/>
          <w:iCs/>
          <w:sz w:val="22"/>
          <w:szCs w:val="22"/>
        </w:rPr>
      </w:pPr>
      <w:r>
        <w:rPr/>
      </w:r>
    </w:p>
    <w:p>
      <w:pPr>
        <w:pStyle w:val="Normal"/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</w:r>
    </w:p>
    <w:p>
      <w:pPr>
        <w:pStyle w:val="Normal"/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</w:r>
    </w:p>
    <w:p>
      <w:pPr>
        <w:pStyle w:val="Normal"/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</w:r>
    </w:p>
    <w:p>
      <w:pPr>
        <w:pStyle w:val="Normal"/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</w:r>
    </w:p>
    <w:p>
      <w:pPr>
        <w:pStyle w:val="Normal"/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</w:r>
    </w:p>
    <w:p>
      <w:pPr>
        <w:pStyle w:val="Normal"/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</w:r>
    </w:p>
    <w:p>
      <w:pPr>
        <w:pStyle w:val="ListParagraph"/>
        <w:widowControl w:val="false"/>
        <w:tabs>
          <w:tab w:val="clear" w:pos="408"/>
          <w:tab w:val="left" w:pos="426" w:leader="none"/>
        </w:tabs>
        <w:spacing w:before="60" w:after="0"/>
        <w:contextualSpacing/>
        <w:jc w:val="both"/>
        <w:rPr>
          <w:rStyle w:val="Style8"/>
          <w:bCs/>
          <w:i w:val="false"/>
          <w:i w:val="false"/>
          <w:iCs/>
          <w:sz w:val="22"/>
          <w:szCs w:val="22"/>
        </w:rPr>
      </w:pPr>
      <w:r>
        <w:rPr>
          <w:bCs/>
          <w:i w:val="false"/>
          <w:iCs/>
          <w:sz w:val="22"/>
          <w:szCs w:val="22"/>
        </w:rPr>
      </w:r>
    </w:p>
    <w:p>
      <w:pPr>
        <w:pStyle w:val="ListParagraph"/>
        <w:widowControl w:val="false"/>
        <w:tabs>
          <w:tab w:val="clear" w:pos="408"/>
          <w:tab w:val="left" w:pos="426" w:leader="none"/>
        </w:tabs>
        <w:spacing w:before="60" w:after="0"/>
        <w:contextualSpacing/>
        <w:jc w:val="both"/>
        <w:rPr/>
      </w:pPr>
      <w:r>
        <w:rPr/>
      </w:r>
    </w:p>
    <w:sectPr>
      <w:headerReference w:type="default" r:id="rId6"/>
      <w:headerReference w:type="first" r:id="rId7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/>
        <w:effect w:val="none"/>
        <w:szCs w:val="22"/>
        <w:iCs w:val="false"/>
        <w:bCs w:val="false"/>
        <w:em w:val="none"/>
        <w:vanish w:val="false"/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/>
        <w:effect w:val="none"/>
        <w:szCs w:val="22"/>
        <w:iCs w:val="false"/>
        <w:bCs w:val="false"/>
        <w:em w:val="none"/>
        <w:vanish w:val="false"/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b/>
        <w:szCs w:val="22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sz w:val="22"/>
        <w:b w:val="false"/>
        <w:szCs w:val="22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42"/>
  <w:defaultTabStop w:val="4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link w:val="1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qFormat/>
    <w:rsid w:val="00ea61a8"/>
    <w:pPr>
      <w:numPr>
        <w:ilvl w:val="0"/>
        <w:numId w:val="0"/>
      </w:numPr>
      <w:outlineLvl w:val="1"/>
    </w:pPr>
    <w:rPr/>
  </w:style>
  <w:style w:type="paragraph" w:styleId="Heading3">
    <w:name w:val="Heading 3"/>
    <w:basedOn w:val="Normal"/>
    <w:link w:val="31"/>
    <w:autoRedefine/>
    <w:qFormat/>
    <w:rsid w:val="00035e96"/>
    <w:pPr>
      <w:keepNext w:val="true"/>
      <w:numPr>
        <w:ilvl w:val="2"/>
        <w:numId w:val="1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Заголовок 1 Знак1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i/>
      <w:shd w:fill="FFFF99" w:val="clear"/>
    </w:rPr>
  </w:style>
  <w:style w:type="character" w:styleId="Style9" w:customStyle="1">
    <w:name w:val="Подподпункт Знак"/>
    <w:qFormat/>
    <w:locked/>
    <w:rsid w:val="0025139e"/>
    <w:rPr>
      <w:sz w:val="26"/>
      <w:szCs w:val="26"/>
    </w:rPr>
  </w:style>
  <w:style w:type="character" w:styleId="31" w:customStyle="1">
    <w:name w:val="Заголовок 3 Знак1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sid w:val="003879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6"/>
    <w:qFormat/>
    <w:rsid w:val="00de52bc"/>
    <w:rPr>
      <w:b/>
      <w:sz w:val="28"/>
    </w:rPr>
  </w:style>
  <w:style w:type="character" w:styleId="12" w:customStyle="1">
    <w:name w:val="УРОВЕНЬ_1. Знак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qFormat/>
    <w:rsid w:val="00c36f30"/>
    <w:rPr>
      <w:sz w:val="16"/>
      <w:szCs w:val="16"/>
    </w:rPr>
  </w:style>
  <w:style w:type="character" w:styleId="Markedcontent" w:customStyle="1">
    <w:name w:val="markedcontent"/>
    <w:basedOn w:val="DefaultParagraphFont"/>
    <w:qFormat/>
    <w:rsid w:val="00a33766"/>
    <w:rPr/>
  </w:style>
  <w:style w:type="character" w:styleId="Style14" w:customStyle="1">
    <w:name w:val="Основной текст с отступом Знак"/>
    <w:basedOn w:val="DefaultParagraphFont"/>
    <w:qFormat/>
    <w:rsid w:val="00730aab"/>
    <w:rPr>
      <w:sz w:val="24"/>
      <w:szCs w:val="24"/>
    </w:rPr>
  </w:style>
  <w:style w:type="character" w:styleId="Style15" w:customStyle="1">
    <w:name w:val="Символы концевой сноски"/>
    <w:qFormat/>
    <w:rPr/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rsid w:val="0076353a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Style18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9" w:customStyle="1">
    <w:name w:val="Раздел положения"/>
    <w:basedOn w:val="Normal"/>
    <w:autoRedefine/>
    <w:qFormat/>
    <w:rsid w:val="007475ee"/>
    <w:pPr>
      <w:spacing w:before="80" w:after="80"/>
      <w:jc w:val="center"/>
    </w:pPr>
    <w:rPr>
      <w:b/>
      <w:sz w:val="32"/>
      <w:szCs w:val="32"/>
    </w:rPr>
  </w:style>
  <w:style w:type="paragraph" w:styleId="Style20" w:customStyle="1">
    <w:name w:val="Подраздел раздела положения"/>
    <w:basedOn w:val="Normal"/>
    <w:autoRedefine/>
    <w:qFormat/>
    <w:rsid w:val="007475ee"/>
    <w:pPr>
      <w:spacing w:before="80" w:after="80"/>
      <w:jc w:val="both"/>
    </w:pPr>
    <w:rPr/>
  </w:style>
  <w:style w:type="paragraph" w:styleId="FootnoteText">
    <w:name w:val="Footnote Text"/>
    <w:basedOn w:val="Normal"/>
    <w:qFormat/>
    <w:rsid w:val="00d561d9"/>
    <w:pPr/>
    <w:rPr/>
  </w:style>
  <w:style w:type="paragraph" w:styleId="14" w:customStyle="1">
    <w:name w:val="Шапка 1"/>
    <w:basedOn w:val="Normal"/>
    <w:qFormat/>
    <w:rsid w:val="00d561d9"/>
    <w:pPr>
      <w:pBdr>
        <w:bottom w:val="thickThinSmallGap" w:sz="24" w:space="1" w:color="00000A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A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A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1" w:customStyle="1">
    <w:name w:val="Колонтитул"/>
    <w:basedOn w:val="Normal"/>
    <w:qFormat/>
    <w:pPr/>
    <w:rPr/>
  </w:style>
  <w:style w:type="paragraph" w:styleId="Header">
    <w:name w:val="Header"/>
    <w:basedOn w:val="Normal"/>
    <w:rsid w:val="0076353a"/>
    <w:pPr>
      <w:tabs>
        <w:tab w:val="clear" w:pos="4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4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2" w:customStyle="1">
    <w:name w:val="Подпункт"/>
    <w:basedOn w:val="Normal"/>
    <w:qFormat/>
    <w:rsid w:val="0076353a"/>
    <w:pPr>
      <w:tabs>
        <w:tab w:val="clear" w:pos="4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qFormat/>
    <w:rsid w:val="0076353a"/>
    <w:pPr>
      <w:keepNext w:val="true"/>
      <w:tabs>
        <w:tab w:val="clear" w:pos="4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autoRedefine/>
    <w:uiPriority w:val="39"/>
    <w:rsid w:val="00421b6b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23" w:customStyle="1">
    <w:name w:val="Раздел регламента"/>
    <w:basedOn w:val="Normal"/>
    <w:qFormat/>
    <w:rsid w:val="00e228fa"/>
    <w:pPr/>
    <w:rPr/>
  </w:style>
  <w:style w:type="paragraph" w:styleId="Style24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semiHidden/>
    <w:qFormat/>
    <w:rsid w:val="00b714b0"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5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1" w:customStyle="1">
    <w:name w:val="caption11"/>
    <w:basedOn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uiPriority w:val="39"/>
    <w:qFormat/>
    <w:rsid w:val="00d22f6d"/>
    <w:pPr>
      <w:keepLines/>
      <w:numPr>
        <w:ilvl w:val="0"/>
        <w:numId w:val="0"/>
      </w:numPr>
      <w:spacing w:before="480" w:after="60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6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link w:val="22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8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7" w:customStyle="1">
    <w:name w:val="Пункт"/>
    <w:basedOn w:val="Normal"/>
    <w:qFormat/>
    <w:rsid w:val="00d22f6d"/>
    <w:pPr>
      <w:widowControl w:val="false"/>
      <w:tabs>
        <w:tab w:val="clear" w:pos="4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8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9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0" w:customStyle="1">
    <w:name w:val="Подподпункт"/>
    <w:basedOn w:val="Style22"/>
    <w:qFormat/>
    <w:rsid w:val="0025139e"/>
    <w:pPr>
      <w:tabs>
        <w:tab w:val="left" w:pos="1134" w:leader="none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1" w:customStyle="1">
    <w:name w:val="УРОВЕНЬ_(а)"/>
    <w:basedOn w:val="ListParagraph"/>
    <w:qFormat/>
    <w:rsid w:val="00b56f46"/>
    <w:pPr>
      <w:spacing w:lineRule="exact" w:line="360" w:before="120" w:after="0"/>
      <w:contextualSpacing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spacing w:lineRule="exact" w:line="360" w:before="120" w:after="0"/>
      <w:contextualSpacing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Style32" w:customStyle="1">
    <w:name w:val="УРОВЕНЬ_Подпись"/>
    <w:basedOn w:val="ListParagraph"/>
    <w:qFormat/>
    <w:rsid w:val="00b56f46"/>
    <w:pPr>
      <w:keepNext w:val="true"/>
      <w:spacing w:lineRule="exact" w:line="360" w:before="120" w:after="120"/>
      <w:contextualSpacing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rsid w:val="005773b2"/>
    <w:pPr>
      <w:keepLines/>
      <w:numPr>
        <w:ilvl w:val="0"/>
        <w:numId w:val="0"/>
      </w:numPr>
      <w:tabs>
        <w:tab w:val="clear" w:pos="4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EndnoteText">
    <w:name w:val="Endnote Text"/>
    <w:basedOn w:val="Normal"/>
    <w:qFormat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spacing w:before="120" w:after="120"/>
      <w:jc w:val="both"/>
      <w:outlineLvl w:val="0"/>
    </w:pPr>
    <w:rPr>
      <w:b/>
      <w:sz w:val="24"/>
      <w:szCs w:val="20"/>
      <w:lang w:eastAsia="x-none"/>
    </w:rPr>
  </w:style>
  <w:style w:type="paragraph" w:styleId="Style33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qFormat/>
    <w:rsid w:val="004a17ae"/>
    <w:pPr>
      <w:keepNext w:val="true"/>
      <w:keepLines/>
      <w:spacing w:lineRule="auto" w:line="276" w:before="240" w:after="120"/>
      <w:ind w:left="0" w:hanging="0"/>
      <w:contextualSpacing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Style34">
    <w:name w:val="Содержимое таблицы"/>
    <w:basedOn w:val="Normal"/>
    <w:qFormat/>
    <w:pPr>
      <w:widowControl w:val="false"/>
      <w:suppressLineNumbers/>
    </w:pPr>
    <w:rPr/>
  </w:style>
  <w:style w:type="paragraph" w:styleId="Style35">
    <w:name w:val="Заголовок таблицы"/>
    <w:basedOn w:val="Style34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5">
    <w:name w:val="Table Grid"/>
    <w:basedOn w:val="a1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1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FAC46-7B11-4D52-915E-6AF83F0C7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1608</TotalTime>
  <Application>AlterOffice/3.4.0.9$Linux_X86_64 LibreOffice_project/b8daf9e823b1a5463a2f48435ddc2e8696e7d4fc</Application>
  <AppVersion>15.0000</AppVersion>
  <Pages>6</Pages>
  <Words>789</Words>
  <Characters>5310</Characters>
  <CharactersWithSpaces>6027</CharactersWithSpaces>
  <Paragraphs>126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2023-06-04T22:23:00Z</dcterms:created>
  <dc:creator>Быстров Олег Геннадьевич</dc:creator>
  <dc:description/>
  <dc:language>ru-RU</dc:language>
  <cp:lastModifiedBy>sazonov_vn</cp:lastModifiedBy>
  <cp:lastPrinted>2006-07-26T14:04:00Z</cp:lastPrinted>
  <dcterms:modified xsi:type="dcterms:W3CDTF">2026-06-18T14:47:16Z</dcterms:modified>
  <cp:revision>499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